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243" w:rsidRPr="000A377C" w:rsidRDefault="000A377C" w:rsidP="000A377C">
      <w:pPr>
        <w:spacing w:after="240"/>
        <w:rPr>
          <w:u w:val="single"/>
        </w:rPr>
      </w:pPr>
      <w:r w:rsidRPr="000A377C">
        <w:rPr>
          <w:u w:val="single"/>
        </w:rPr>
        <w:t xml:space="preserve">Priserne på Frøsamlernes </w:t>
      </w:r>
      <w:r w:rsidR="00A84616">
        <w:rPr>
          <w:u w:val="single"/>
        </w:rPr>
        <w:t>weekend</w:t>
      </w:r>
      <w:r w:rsidRPr="000A377C">
        <w:rPr>
          <w:u w:val="single"/>
        </w:rPr>
        <w:t>kurser</w:t>
      </w:r>
    </w:p>
    <w:p w:rsidR="000A377C" w:rsidRDefault="000A377C">
      <w:r>
        <w:t xml:space="preserve">Vi vil gerne gøre det muligt for så mange medlemmer som muligt at deltage i vores to store weekender – Efterårskurset i september og Årsmødet med generalforsamlingen i marts. </w:t>
      </w:r>
      <w:r w:rsidR="00A84616">
        <w:t>(Vores dagkurser er gratis og åbne for alle.)</w:t>
      </w:r>
    </w:p>
    <w:p w:rsidR="000A377C" w:rsidRDefault="000A377C">
      <w:r>
        <w:t xml:space="preserve">Vi skal finde kursussteder, der kan rumme 50-60 sovende og op til 90 spisende og siddende kursister. Fordi vi ikke laver egentlige lejrskoler, og har medlemmer med forskellige aldre og grader af fysisk formåen, booker vi ikke kursussteder med ét stort soverum, kun med køjesenge, eller </w:t>
      </w:r>
      <w:r w:rsidR="00A84616">
        <w:t>kun med flersengs</w:t>
      </w:r>
      <w:r>
        <w:t xml:space="preserve">værelser. Men vi sørger så vidt muligt for at der også er billige sovealternativer – sovesal på madrasser (hvor brandreglerne tillader), flersengsværelser og plads til telte. </w:t>
      </w:r>
    </w:p>
    <w:p w:rsidR="000A377C" w:rsidRDefault="000A377C">
      <w:r>
        <w:t>Fordi erfaring har vist at forplejning til 75-90 mennesker kræver en kæmpe investering af tid og kræfter – og mange deltagere, der vil tage</w:t>
      </w:r>
      <w:r w:rsidR="00615216">
        <w:t xml:space="preserve"> del i</w:t>
      </w:r>
      <w:r>
        <w:t xml:space="preserve"> opgaverne, selv om opvasken måske betyder at de ikke samtidigt kan være til foredrag eller udflugt – laver vi meget sjældent selv mad på de store weekender. Det er fint på vores mindre hytteture</w:t>
      </w:r>
      <w:r w:rsidR="000A3B25">
        <w:t>, hvor madlavningen også er en del af hyggen</w:t>
      </w:r>
      <w:r>
        <w:t>.</w:t>
      </w:r>
    </w:p>
    <w:p w:rsidR="000A3B25" w:rsidRDefault="000A3B25">
      <w:r>
        <w:t>Vi har en solidarisk prispolitik – ud over den rabat, der er indbygget i alle weekendpriser (se mere nedenfor), tilbyder vi en ekstra rabat til alle, der føler at de har brug for den, uanset årsag og uden forklaring. Det kan være de kendte årsager som at man er pensionist eller sygemeldt, men mange andre ting kan betyde at man ellers ikke vil kunne være med. Vi oplever at medlemmerne er meget tilbageholdende med at bruge dette tilbud.</w:t>
      </w:r>
    </w:p>
    <w:p w:rsidR="000A3B25" w:rsidRDefault="000A3B25">
      <w:r>
        <w:t xml:space="preserve">Vi har forsøgt at lave faste prisrammer – men priserne stiger og kursussteder er forskellige, så det er umuligt at garantere en fast maksimum pris. For Efterårskurset 2019 på Møn </w:t>
      </w:r>
      <w:proofErr w:type="spellStart"/>
      <w:r>
        <w:t>Retreat</w:t>
      </w:r>
      <w:proofErr w:type="spellEnd"/>
      <w:r>
        <w:t xml:space="preserve"> Center, der hverken er det billigste eller det dyreste, vi har brugt, ser regnskabet sådan ud:</w:t>
      </w:r>
    </w:p>
    <w:tbl>
      <w:tblPr>
        <w:tblStyle w:val="Tabel-Gitter"/>
        <w:tblW w:w="0" w:type="auto"/>
        <w:tblInd w:w="817" w:type="dxa"/>
        <w:tblLook w:val="04A0" w:firstRow="1" w:lastRow="0" w:firstColumn="1" w:lastColumn="0" w:noHBand="0" w:noVBand="1"/>
      </w:tblPr>
      <w:tblGrid>
        <w:gridCol w:w="1955"/>
        <w:gridCol w:w="1955"/>
        <w:gridCol w:w="1956"/>
        <w:gridCol w:w="1956"/>
      </w:tblGrid>
      <w:tr w:rsidR="000A3B25" w:rsidRPr="000A3B25" w:rsidTr="00E26629">
        <w:tc>
          <w:tcPr>
            <w:tcW w:w="1955" w:type="dxa"/>
          </w:tcPr>
          <w:p w:rsidR="000A3B25" w:rsidRPr="000A3B25" w:rsidRDefault="000A3B25" w:rsidP="00E26629">
            <w:pPr>
              <w:rPr>
                <w:sz w:val="18"/>
                <w:szCs w:val="18"/>
              </w:rPr>
            </w:pPr>
            <w:r w:rsidRPr="000A3B25">
              <w:rPr>
                <w:sz w:val="18"/>
                <w:szCs w:val="18"/>
              </w:rPr>
              <w:t>(Kun hele week</w:t>
            </w:r>
            <w:r w:rsidR="00E26629">
              <w:rPr>
                <w:sz w:val="18"/>
                <w:szCs w:val="18"/>
              </w:rPr>
              <w:t>enden, alt inkl., pr. person)</w:t>
            </w:r>
          </w:p>
        </w:tc>
        <w:tc>
          <w:tcPr>
            <w:tcW w:w="1955" w:type="dxa"/>
          </w:tcPr>
          <w:p w:rsidR="000A3B25" w:rsidRPr="000A3B25" w:rsidRDefault="000A3B25">
            <w:pPr>
              <w:rPr>
                <w:sz w:val="18"/>
                <w:szCs w:val="18"/>
              </w:rPr>
            </w:pPr>
            <w:r w:rsidRPr="000A3B25">
              <w:rPr>
                <w:sz w:val="18"/>
                <w:szCs w:val="18"/>
              </w:rPr>
              <w:t>Foreningens brutto pris</w:t>
            </w:r>
          </w:p>
        </w:tc>
        <w:tc>
          <w:tcPr>
            <w:tcW w:w="1956" w:type="dxa"/>
          </w:tcPr>
          <w:p w:rsidR="000A3B25" w:rsidRPr="000A3B25" w:rsidRDefault="000A3B25">
            <w:pPr>
              <w:rPr>
                <w:sz w:val="18"/>
                <w:szCs w:val="18"/>
              </w:rPr>
            </w:pPr>
            <w:r>
              <w:rPr>
                <w:sz w:val="18"/>
                <w:szCs w:val="18"/>
              </w:rPr>
              <w:t>Deltagerpris</w:t>
            </w:r>
          </w:p>
        </w:tc>
        <w:tc>
          <w:tcPr>
            <w:tcW w:w="1956" w:type="dxa"/>
          </w:tcPr>
          <w:p w:rsidR="000A3B25" w:rsidRPr="000A3B25" w:rsidRDefault="00E26629">
            <w:pPr>
              <w:rPr>
                <w:sz w:val="18"/>
                <w:szCs w:val="18"/>
              </w:rPr>
            </w:pPr>
            <w:r>
              <w:rPr>
                <w:sz w:val="18"/>
                <w:szCs w:val="18"/>
              </w:rPr>
              <w:t>Rabatpris</w:t>
            </w:r>
          </w:p>
        </w:tc>
      </w:tr>
      <w:tr w:rsidR="000A3B25" w:rsidRPr="000A3B25" w:rsidTr="00E26629">
        <w:tc>
          <w:tcPr>
            <w:tcW w:w="1955" w:type="dxa"/>
          </w:tcPr>
          <w:p w:rsidR="000A3B25" w:rsidRPr="000A3B25" w:rsidRDefault="00E26629">
            <w:pPr>
              <w:rPr>
                <w:sz w:val="18"/>
                <w:szCs w:val="18"/>
              </w:rPr>
            </w:pPr>
            <w:r>
              <w:rPr>
                <w:sz w:val="18"/>
                <w:szCs w:val="18"/>
              </w:rPr>
              <w:t>Enkeltværelse</w:t>
            </w:r>
          </w:p>
        </w:tc>
        <w:tc>
          <w:tcPr>
            <w:tcW w:w="1955" w:type="dxa"/>
            <w:vAlign w:val="center"/>
          </w:tcPr>
          <w:p w:rsidR="000A3B25" w:rsidRPr="000A3B25" w:rsidRDefault="00E26629" w:rsidP="00E26629">
            <w:pPr>
              <w:jc w:val="center"/>
              <w:rPr>
                <w:sz w:val="18"/>
                <w:szCs w:val="18"/>
              </w:rPr>
            </w:pPr>
            <w:r>
              <w:rPr>
                <w:sz w:val="18"/>
                <w:szCs w:val="18"/>
              </w:rPr>
              <w:t>1599,-</w:t>
            </w:r>
          </w:p>
        </w:tc>
        <w:tc>
          <w:tcPr>
            <w:tcW w:w="1956" w:type="dxa"/>
            <w:vAlign w:val="center"/>
          </w:tcPr>
          <w:p w:rsidR="000A3B25" w:rsidRPr="000A3B25" w:rsidRDefault="00E26629" w:rsidP="00E26629">
            <w:pPr>
              <w:jc w:val="center"/>
              <w:rPr>
                <w:sz w:val="18"/>
                <w:szCs w:val="18"/>
              </w:rPr>
            </w:pPr>
            <w:r>
              <w:rPr>
                <w:sz w:val="18"/>
                <w:szCs w:val="18"/>
              </w:rPr>
              <w:t>1250,-</w:t>
            </w:r>
          </w:p>
        </w:tc>
        <w:tc>
          <w:tcPr>
            <w:tcW w:w="1956" w:type="dxa"/>
            <w:vAlign w:val="center"/>
          </w:tcPr>
          <w:p w:rsidR="000A3B25" w:rsidRPr="000A3B25" w:rsidRDefault="00E26629" w:rsidP="00E26629">
            <w:pPr>
              <w:jc w:val="center"/>
              <w:rPr>
                <w:sz w:val="18"/>
                <w:szCs w:val="18"/>
              </w:rPr>
            </w:pPr>
            <w:r>
              <w:rPr>
                <w:sz w:val="18"/>
                <w:szCs w:val="18"/>
              </w:rPr>
              <w:t>1050,-</w:t>
            </w:r>
          </w:p>
        </w:tc>
      </w:tr>
      <w:tr w:rsidR="000A3B25" w:rsidRPr="000A3B25" w:rsidTr="00E26629">
        <w:tc>
          <w:tcPr>
            <w:tcW w:w="1955" w:type="dxa"/>
          </w:tcPr>
          <w:p w:rsidR="000A3B25" w:rsidRPr="000A3B25" w:rsidRDefault="00E26629">
            <w:pPr>
              <w:rPr>
                <w:sz w:val="18"/>
                <w:szCs w:val="18"/>
              </w:rPr>
            </w:pPr>
            <w:r>
              <w:rPr>
                <w:sz w:val="18"/>
                <w:szCs w:val="18"/>
              </w:rPr>
              <w:t>Delt Dobbeltværelse</w:t>
            </w:r>
          </w:p>
        </w:tc>
        <w:tc>
          <w:tcPr>
            <w:tcW w:w="1955" w:type="dxa"/>
            <w:vAlign w:val="center"/>
          </w:tcPr>
          <w:p w:rsidR="000A3B25" w:rsidRPr="000A3B25" w:rsidRDefault="00E26629" w:rsidP="00E26629">
            <w:pPr>
              <w:jc w:val="center"/>
              <w:rPr>
                <w:sz w:val="18"/>
                <w:szCs w:val="18"/>
              </w:rPr>
            </w:pPr>
            <w:r>
              <w:rPr>
                <w:sz w:val="18"/>
                <w:szCs w:val="18"/>
              </w:rPr>
              <w:t>1344,-</w:t>
            </w:r>
          </w:p>
        </w:tc>
        <w:tc>
          <w:tcPr>
            <w:tcW w:w="1956" w:type="dxa"/>
            <w:vAlign w:val="center"/>
          </w:tcPr>
          <w:p w:rsidR="000A3B25" w:rsidRPr="000A3B25" w:rsidRDefault="00E26629" w:rsidP="00E26629">
            <w:pPr>
              <w:jc w:val="center"/>
              <w:rPr>
                <w:sz w:val="18"/>
                <w:szCs w:val="18"/>
              </w:rPr>
            </w:pPr>
            <w:r>
              <w:rPr>
                <w:sz w:val="18"/>
                <w:szCs w:val="18"/>
              </w:rPr>
              <w:t>1050,-</w:t>
            </w:r>
          </w:p>
        </w:tc>
        <w:tc>
          <w:tcPr>
            <w:tcW w:w="1956" w:type="dxa"/>
            <w:vAlign w:val="center"/>
          </w:tcPr>
          <w:p w:rsidR="000A3B25" w:rsidRPr="000A3B25" w:rsidRDefault="00E26629" w:rsidP="00E26629">
            <w:pPr>
              <w:jc w:val="center"/>
              <w:rPr>
                <w:sz w:val="18"/>
                <w:szCs w:val="18"/>
              </w:rPr>
            </w:pPr>
            <w:r>
              <w:rPr>
                <w:sz w:val="18"/>
                <w:szCs w:val="18"/>
              </w:rPr>
              <w:t>850,-</w:t>
            </w:r>
          </w:p>
        </w:tc>
      </w:tr>
      <w:tr w:rsidR="000A3B25" w:rsidRPr="000A3B25" w:rsidTr="00E26629">
        <w:tc>
          <w:tcPr>
            <w:tcW w:w="1955" w:type="dxa"/>
          </w:tcPr>
          <w:p w:rsidR="000A3B25" w:rsidRPr="000A3B25" w:rsidRDefault="00E26629" w:rsidP="00E26629">
            <w:pPr>
              <w:rPr>
                <w:sz w:val="18"/>
                <w:szCs w:val="18"/>
              </w:rPr>
            </w:pPr>
            <w:r>
              <w:rPr>
                <w:sz w:val="18"/>
                <w:szCs w:val="18"/>
              </w:rPr>
              <w:t>3 el. 4 sengs værelse</w:t>
            </w:r>
          </w:p>
        </w:tc>
        <w:tc>
          <w:tcPr>
            <w:tcW w:w="1955" w:type="dxa"/>
            <w:vAlign w:val="center"/>
          </w:tcPr>
          <w:p w:rsidR="000A3B25" w:rsidRPr="000A3B25" w:rsidRDefault="00E26629" w:rsidP="00E26629">
            <w:pPr>
              <w:jc w:val="center"/>
              <w:rPr>
                <w:sz w:val="18"/>
                <w:szCs w:val="18"/>
              </w:rPr>
            </w:pPr>
            <w:r w:rsidRPr="00E26629">
              <w:rPr>
                <w:sz w:val="18"/>
                <w:szCs w:val="18"/>
              </w:rPr>
              <w:t>1140</w:t>
            </w:r>
            <w:r>
              <w:rPr>
                <w:sz w:val="18"/>
                <w:szCs w:val="18"/>
              </w:rPr>
              <w:t>,-</w:t>
            </w:r>
          </w:p>
        </w:tc>
        <w:tc>
          <w:tcPr>
            <w:tcW w:w="1956" w:type="dxa"/>
            <w:vAlign w:val="center"/>
          </w:tcPr>
          <w:p w:rsidR="000A3B25" w:rsidRPr="000A3B25" w:rsidRDefault="00E26629" w:rsidP="00E26629">
            <w:pPr>
              <w:jc w:val="center"/>
              <w:rPr>
                <w:sz w:val="18"/>
                <w:szCs w:val="18"/>
              </w:rPr>
            </w:pPr>
            <w:r>
              <w:rPr>
                <w:sz w:val="18"/>
                <w:szCs w:val="18"/>
              </w:rPr>
              <w:t>850,-</w:t>
            </w:r>
          </w:p>
        </w:tc>
        <w:tc>
          <w:tcPr>
            <w:tcW w:w="1956" w:type="dxa"/>
            <w:vAlign w:val="center"/>
          </w:tcPr>
          <w:p w:rsidR="000A3B25" w:rsidRPr="000A3B25" w:rsidRDefault="00E26629" w:rsidP="00E26629">
            <w:pPr>
              <w:jc w:val="center"/>
              <w:rPr>
                <w:sz w:val="18"/>
                <w:szCs w:val="18"/>
              </w:rPr>
            </w:pPr>
            <w:r>
              <w:rPr>
                <w:sz w:val="18"/>
                <w:szCs w:val="18"/>
              </w:rPr>
              <w:t>700,-</w:t>
            </w:r>
          </w:p>
        </w:tc>
      </w:tr>
      <w:tr w:rsidR="000A3B25" w:rsidRPr="000A3B25" w:rsidTr="00E26629">
        <w:tc>
          <w:tcPr>
            <w:tcW w:w="1955" w:type="dxa"/>
          </w:tcPr>
          <w:p w:rsidR="000A3B25" w:rsidRPr="000A3B25" w:rsidRDefault="00E26629">
            <w:pPr>
              <w:rPr>
                <w:sz w:val="18"/>
                <w:szCs w:val="18"/>
              </w:rPr>
            </w:pPr>
            <w:r>
              <w:rPr>
                <w:sz w:val="18"/>
                <w:szCs w:val="18"/>
              </w:rPr>
              <w:t>Sovesal</w:t>
            </w:r>
          </w:p>
        </w:tc>
        <w:tc>
          <w:tcPr>
            <w:tcW w:w="1955" w:type="dxa"/>
            <w:vAlign w:val="center"/>
          </w:tcPr>
          <w:p w:rsidR="000A3B25" w:rsidRPr="000A3B25" w:rsidRDefault="00E26629" w:rsidP="00E26629">
            <w:pPr>
              <w:jc w:val="center"/>
              <w:rPr>
                <w:sz w:val="18"/>
                <w:szCs w:val="18"/>
              </w:rPr>
            </w:pPr>
            <w:r>
              <w:rPr>
                <w:sz w:val="18"/>
                <w:szCs w:val="18"/>
              </w:rPr>
              <w:t>970,-</w:t>
            </w:r>
          </w:p>
        </w:tc>
        <w:tc>
          <w:tcPr>
            <w:tcW w:w="1956" w:type="dxa"/>
            <w:vAlign w:val="center"/>
          </w:tcPr>
          <w:p w:rsidR="000A3B25" w:rsidRPr="000A3B25" w:rsidRDefault="00E26629" w:rsidP="00E26629">
            <w:pPr>
              <w:jc w:val="center"/>
              <w:rPr>
                <w:sz w:val="18"/>
                <w:szCs w:val="18"/>
              </w:rPr>
            </w:pPr>
            <w:r>
              <w:rPr>
                <w:sz w:val="18"/>
                <w:szCs w:val="18"/>
              </w:rPr>
              <w:t>700,-</w:t>
            </w:r>
          </w:p>
        </w:tc>
        <w:tc>
          <w:tcPr>
            <w:tcW w:w="1956" w:type="dxa"/>
            <w:vAlign w:val="center"/>
          </w:tcPr>
          <w:p w:rsidR="000A3B25" w:rsidRPr="000A3B25" w:rsidRDefault="00E26629" w:rsidP="00E26629">
            <w:pPr>
              <w:jc w:val="center"/>
              <w:rPr>
                <w:sz w:val="18"/>
                <w:szCs w:val="18"/>
              </w:rPr>
            </w:pPr>
            <w:r>
              <w:rPr>
                <w:sz w:val="18"/>
                <w:szCs w:val="18"/>
              </w:rPr>
              <w:t>600,-</w:t>
            </w:r>
          </w:p>
        </w:tc>
      </w:tr>
      <w:tr w:rsidR="000A3B25" w:rsidRPr="000A3B25" w:rsidTr="00E26629">
        <w:tc>
          <w:tcPr>
            <w:tcW w:w="1955" w:type="dxa"/>
          </w:tcPr>
          <w:p w:rsidR="000A3B25" w:rsidRPr="000A3B25" w:rsidRDefault="00E26629">
            <w:pPr>
              <w:rPr>
                <w:sz w:val="18"/>
                <w:szCs w:val="18"/>
              </w:rPr>
            </w:pPr>
            <w:r>
              <w:rPr>
                <w:sz w:val="18"/>
                <w:szCs w:val="18"/>
              </w:rPr>
              <w:t>Telt</w:t>
            </w:r>
          </w:p>
        </w:tc>
        <w:tc>
          <w:tcPr>
            <w:tcW w:w="1955" w:type="dxa"/>
            <w:vAlign w:val="center"/>
          </w:tcPr>
          <w:p w:rsidR="000A3B25" w:rsidRPr="000A3B25" w:rsidRDefault="00E26629" w:rsidP="00E26629">
            <w:pPr>
              <w:jc w:val="center"/>
              <w:rPr>
                <w:sz w:val="18"/>
                <w:szCs w:val="18"/>
              </w:rPr>
            </w:pPr>
            <w:r>
              <w:rPr>
                <w:sz w:val="18"/>
                <w:szCs w:val="18"/>
              </w:rPr>
              <w:t>970,-</w:t>
            </w:r>
          </w:p>
        </w:tc>
        <w:tc>
          <w:tcPr>
            <w:tcW w:w="1956" w:type="dxa"/>
            <w:vAlign w:val="center"/>
          </w:tcPr>
          <w:p w:rsidR="000A3B25" w:rsidRPr="000A3B25" w:rsidRDefault="00E26629" w:rsidP="00E26629">
            <w:pPr>
              <w:jc w:val="center"/>
              <w:rPr>
                <w:sz w:val="18"/>
                <w:szCs w:val="18"/>
              </w:rPr>
            </w:pPr>
            <w:r>
              <w:rPr>
                <w:sz w:val="18"/>
                <w:szCs w:val="18"/>
              </w:rPr>
              <w:t>700,-</w:t>
            </w:r>
          </w:p>
        </w:tc>
        <w:tc>
          <w:tcPr>
            <w:tcW w:w="1956" w:type="dxa"/>
            <w:vAlign w:val="center"/>
          </w:tcPr>
          <w:p w:rsidR="000A3B25" w:rsidRPr="000A3B25" w:rsidRDefault="00E26629" w:rsidP="00E26629">
            <w:pPr>
              <w:jc w:val="center"/>
              <w:rPr>
                <w:sz w:val="18"/>
                <w:szCs w:val="18"/>
              </w:rPr>
            </w:pPr>
            <w:r>
              <w:rPr>
                <w:sz w:val="18"/>
                <w:szCs w:val="18"/>
              </w:rPr>
              <w:t>600,-</w:t>
            </w:r>
          </w:p>
        </w:tc>
      </w:tr>
      <w:tr w:rsidR="00E26629" w:rsidRPr="000A3B25" w:rsidTr="00E26629">
        <w:tc>
          <w:tcPr>
            <w:tcW w:w="1955" w:type="dxa"/>
          </w:tcPr>
          <w:p w:rsidR="00E26629" w:rsidRDefault="00E26629">
            <w:pPr>
              <w:rPr>
                <w:sz w:val="18"/>
                <w:szCs w:val="18"/>
              </w:rPr>
            </w:pPr>
            <w:r>
              <w:rPr>
                <w:sz w:val="18"/>
                <w:szCs w:val="18"/>
              </w:rPr>
              <w:t>Sovesal + 3 t. arbejde</w:t>
            </w:r>
          </w:p>
        </w:tc>
        <w:tc>
          <w:tcPr>
            <w:tcW w:w="1955" w:type="dxa"/>
            <w:vAlign w:val="center"/>
          </w:tcPr>
          <w:p w:rsidR="00E26629" w:rsidRPr="000A3B25" w:rsidRDefault="00E26629" w:rsidP="00E26629">
            <w:pPr>
              <w:jc w:val="center"/>
              <w:rPr>
                <w:sz w:val="18"/>
                <w:szCs w:val="18"/>
              </w:rPr>
            </w:pPr>
            <w:r>
              <w:rPr>
                <w:sz w:val="18"/>
                <w:szCs w:val="18"/>
              </w:rPr>
              <w:t>545,-</w:t>
            </w:r>
          </w:p>
        </w:tc>
        <w:tc>
          <w:tcPr>
            <w:tcW w:w="1956" w:type="dxa"/>
            <w:vAlign w:val="center"/>
          </w:tcPr>
          <w:p w:rsidR="00E26629" w:rsidRDefault="00E26629" w:rsidP="00E26629">
            <w:pPr>
              <w:jc w:val="center"/>
              <w:rPr>
                <w:sz w:val="18"/>
                <w:szCs w:val="18"/>
              </w:rPr>
            </w:pPr>
          </w:p>
        </w:tc>
        <w:tc>
          <w:tcPr>
            <w:tcW w:w="1956" w:type="dxa"/>
            <w:vAlign w:val="center"/>
          </w:tcPr>
          <w:p w:rsidR="00E26629" w:rsidRDefault="00E26629" w:rsidP="00E26629">
            <w:pPr>
              <w:jc w:val="center"/>
              <w:rPr>
                <w:sz w:val="18"/>
                <w:szCs w:val="18"/>
              </w:rPr>
            </w:pPr>
            <w:r>
              <w:rPr>
                <w:sz w:val="18"/>
                <w:szCs w:val="18"/>
              </w:rPr>
              <w:t>400,-</w:t>
            </w:r>
          </w:p>
        </w:tc>
      </w:tr>
    </w:tbl>
    <w:p w:rsidR="000A3B25" w:rsidRDefault="000A3B25"/>
    <w:p w:rsidR="00E26629" w:rsidRDefault="00E26629">
      <w:r>
        <w:t xml:space="preserve">Foreningen </w:t>
      </w:r>
      <w:r w:rsidR="00615216">
        <w:t>giver altså et tilskud på ca. 20-</w:t>
      </w:r>
      <w:r w:rsidR="00A84616">
        <w:t>25 %</w:t>
      </w:r>
      <w:r w:rsidR="00615216">
        <w:t xml:space="preserve"> eller lidt mere til alle former for overnatning – mere til de særlige rabatter efter behov, som man selv bestemmer.</w:t>
      </w:r>
      <w:bookmarkStart w:id="0" w:name="_GoBack"/>
      <w:bookmarkEnd w:id="0"/>
    </w:p>
    <w:p w:rsidR="00615216" w:rsidRDefault="00615216">
      <w:r>
        <w:t xml:space="preserve">Både af hensyn til pris men også ofte til antal værelser, </w:t>
      </w:r>
      <w:r w:rsidR="00A84616">
        <w:t>beder vi til at man overvejer om det er nødvendigt med et enkeltværelse. Hvis man ellers bare ville vælge enkeltværelse, fordi det gør man jo på kurser, eller fordi man ikke kender nogen, man kunne dele med – står vi altid på spring til at finde en hyggelig frøsamler-værelseskammerat!</w:t>
      </w:r>
    </w:p>
    <w:p w:rsidR="00A84616" w:rsidRDefault="00A84616">
      <w:r>
        <w:t xml:space="preserve">Der vil være en mindre gruppe deltagere, der kommer gratis på weekendkurser - fx bestyrelsesmedlemmer, undervisere, fuldtids-hjælpere eller andre særligt inviterede. </w:t>
      </w:r>
    </w:p>
    <w:sectPr w:rsidR="00A84616" w:rsidSect="00B86F07">
      <w:pgSz w:w="11906" w:h="16838" w:code="9"/>
      <w:pgMar w:top="958" w:right="1134" w:bottom="1701" w:left="1134" w:header="28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77C"/>
    <w:rsid w:val="000A377C"/>
    <w:rsid w:val="000A3B25"/>
    <w:rsid w:val="00615216"/>
    <w:rsid w:val="006F6243"/>
    <w:rsid w:val="008D4CAD"/>
    <w:rsid w:val="00A84616"/>
    <w:rsid w:val="00B86F07"/>
    <w:rsid w:val="00E2662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CAD"/>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0A3B2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CAD"/>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0A3B2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778029">
      <w:bodyDiv w:val="1"/>
      <w:marLeft w:val="0"/>
      <w:marRight w:val="0"/>
      <w:marTop w:val="0"/>
      <w:marBottom w:val="0"/>
      <w:divBdr>
        <w:top w:val="none" w:sz="0" w:space="0" w:color="auto"/>
        <w:left w:val="none" w:sz="0" w:space="0" w:color="auto"/>
        <w:bottom w:val="none" w:sz="0" w:space="0" w:color="auto"/>
        <w:right w:val="none" w:sz="0" w:space="0" w:color="auto"/>
      </w:divBdr>
    </w:div>
    <w:div w:id="32244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397</Words>
  <Characters>2425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Mogens</dc:creator>
  <cp:lastModifiedBy>Mogens</cp:lastModifiedBy>
  <cp:revision>1</cp:revision>
  <dcterms:created xsi:type="dcterms:W3CDTF">2019-07-29T09:59:00Z</dcterms:created>
  <dcterms:modified xsi:type="dcterms:W3CDTF">2019-07-29T10:48:00Z</dcterms:modified>
</cp:coreProperties>
</file>